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05" w:rsidRDefault="00906305" w:rsidP="00906305">
      <w:pPr>
        <w:autoSpaceDE w:val="0"/>
        <w:autoSpaceDN w:val="0"/>
        <w:adjustRightInd w:val="0"/>
        <w:spacing w:after="0" w:line="240" w:lineRule="auto"/>
        <w:rPr>
          <w:sz w:val="36"/>
          <w:szCs w:val="36"/>
        </w:rPr>
      </w:pPr>
      <w:bookmarkStart w:id="0" w:name="_GoBack"/>
      <w:bookmarkEnd w:id="0"/>
      <w:r w:rsidRPr="00842496">
        <w:rPr>
          <w:noProof/>
          <w:sz w:val="44"/>
          <w:szCs w:val="44"/>
          <w:lang w:eastAsia="en-GB"/>
        </w:rPr>
        <w:drawing>
          <wp:inline distT="0" distB="0" distL="0" distR="0" wp14:anchorId="5DC10858" wp14:editId="516A0810">
            <wp:extent cx="3124200" cy="2114550"/>
            <wp:effectExtent l="0" t="0" r="0" b="0"/>
            <wp:docPr id="1" name="Picture 1" descr="Description: C:\Users\george.spencer\Desktop\mind-refreshing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eorge.spencer\Desktop\mind-refreshing6.JPG"/>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8012" cy="2117130"/>
                    </a:xfrm>
                    <a:prstGeom prst="rect">
                      <a:avLst/>
                    </a:prstGeom>
                    <a:noFill/>
                    <a:ln>
                      <a:noFill/>
                    </a:ln>
                  </pic:spPr>
                </pic:pic>
              </a:graphicData>
            </a:graphic>
          </wp:inline>
        </w:drawing>
      </w:r>
      <w:r w:rsidR="00ED31A1">
        <w:rPr>
          <w:sz w:val="36"/>
          <w:szCs w:val="36"/>
        </w:rPr>
        <w:t xml:space="preserve">Interfaith </w:t>
      </w:r>
      <w:r w:rsidRPr="00906305">
        <w:rPr>
          <w:sz w:val="36"/>
          <w:szCs w:val="36"/>
        </w:rPr>
        <w:t xml:space="preserve">Relations </w:t>
      </w:r>
    </w:p>
    <w:p w:rsidR="00ED31A1" w:rsidRPr="00ED31A1" w:rsidRDefault="00ED31A1" w:rsidP="00906305">
      <w:pPr>
        <w:autoSpaceDE w:val="0"/>
        <w:autoSpaceDN w:val="0"/>
        <w:adjustRightInd w:val="0"/>
        <w:spacing w:after="0" w:line="240" w:lineRule="auto"/>
      </w:pPr>
      <w:r w:rsidRPr="00ED31A1">
        <w:t xml:space="preserve">Here we look at the relationship between the 2013 Census results for faith communities and the current chaplaincy staffing with respect to the hospital population (as far as it is known).  </w:t>
      </w:r>
    </w:p>
    <w:p w:rsidR="00906305" w:rsidRPr="00ED31A1" w:rsidRDefault="00906305" w:rsidP="00906305">
      <w:pPr>
        <w:autoSpaceDE w:val="0"/>
        <w:autoSpaceDN w:val="0"/>
        <w:adjustRightInd w:val="0"/>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9"/>
        <w:gridCol w:w="1241"/>
        <w:gridCol w:w="1301"/>
        <w:gridCol w:w="1277"/>
        <w:gridCol w:w="1302"/>
        <w:gridCol w:w="1296"/>
        <w:gridCol w:w="1296"/>
      </w:tblGrid>
      <w:tr w:rsidR="00906305" w:rsidRPr="00591EE9" w:rsidTr="001A40EB">
        <w:tc>
          <w:tcPr>
            <w:tcW w:w="1529" w:type="dxa"/>
          </w:tcPr>
          <w:p w:rsidR="00906305" w:rsidRPr="00591EE9" w:rsidRDefault="00906305" w:rsidP="001A40EB">
            <w:pPr>
              <w:spacing w:after="0" w:line="240" w:lineRule="auto"/>
              <w:rPr>
                <w:b/>
              </w:rPr>
            </w:pPr>
            <w:r w:rsidRPr="00591EE9">
              <w:rPr>
                <w:b/>
              </w:rPr>
              <w:t>Denomination / Faith</w:t>
            </w:r>
          </w:p>
        </w:tc>
        <w:tc>
          <w:tcPr>
            <w:tcW w:w="1241" w:type="dxa"/>
          </w:tcPr>
          <w:p w:rsidR="00906305" w:rsidRPr="00591EE9" w:rsidRDefault="00906305" w:rsidP="001A40EB">
            <w:pPr>
              <w:spacing w:after="0" w:line="240" w:lineRule="auto"/>
              <w:rPr>
                <w:b/>
              </w:rPr>
            </w:pPr>
            <w:r w:rsidRPr="00591EE9">
              <w:rPr>
                <w:b/>
              </w:rPr>
              <w:t>Hours per week</w:t>
            </w:r>
          </w:p>
        </w:tc>
        <w:tc>
          <w:tcPr>
            <w:tcW w:w="1301" w:type="dxa"/>
          </w:tcPr>
          <w:p w:rsidR="00906305" w:rsidRPr="00591EE9" w:rsidRDefault="00906305" w:rsidP="001A40EB">
            <w:pPr>
              <w:spacing w:after="0" w:line="240" w:lineRule="auto"/>
            </w:pPr>
            <w:r w:rsidRPr="00591EE9">
              <w:rPr>
                <w:b/>
              </w:rPr>
              <w:t>% of total chaplaincy sessions</w:t>
            </w:r>
          </w:p>
        </w:tc>
        <w:tc>
          <w:tcPr>
            <w:tcW w:w="1277" w:type="dxa"/>
          </w:tcPr>
          <w:p w:rsidR="00906305" w:rsidRPr="00591EE9" w:rsidRDefault="00906305" w:rsidP="001A40EB">
            <w:pPr>
              <w:spacing w:after="0" w:line="240" w:lineRule="auto"/>
              <w:rPr>
                <w:b/>
              </w:rPr>
            </w:pPr>
            <w:r w:rsidRPr="00591EE9">
              <w:rPr>
                <w:b/>
              </w:rPr>
              <w:t>Census 2013</w:t>
            </w:r>
          </w:p>
          <w:p w:rsidR="00906305" w:rsidRPr="00591EE9" w:rsidRDefault="00906305" w:rsidP="001A40EB">
            <w:pPr>
              <w:spacing w:after="0" w:line="240" w:lineRule="auto"/>
            </w:pPr>
            <w:r w:rsidRPr="00591EE9">
              <w:rPr>
                <w:b/>
              </w:rPr>
              <w:t>Kirklees</w:t>
            </w:r>
          </w:p>
        </w:tc>
        <w:tc>
          <w:tcPr>
            <w:tcW w:w="1302" w:type="dxa"/>
          </w:tcPr>
          <w:p w:rsidR="00906305" w:rsidRPr="00591EE9" w:rsidRDefault="00906305" w:rsidP="001A40EB">
            <w:pPr>
              <w:spacing w:after="0" w:line="240" w:lineRule="auto"/>
              <w:rPr>
                <w:b/>
              </w:rPr>
            </w:pPr>
            <w:r w:rsidRPr="00591EE9">
              <w:rPr>
                <w:b/>
              </w:rPr>
              <w:t xml:space="preserve">Census 2013 </w:t>
            </w:r>
          </w:p>
          <w:p w:rsidR="00906305" w:rsidRPr="00591EE9" w:rsidRDefault="00906305" w:rsidP="001A40EB">
            <w:pPr>
              <w:spacing w:after="0" w:line="240" w:lineRule="auto"/>
              <w:rPr>
                <w:b/>
              </w:rPr>
            </w:pPr>
            <w:r w:rsidRPr="00591EE9">
              <w:rPr>
                <w:b/>
              </w:rPr>
              <w:t>Calderdale</w:t>
            </w:r>
          </w:p>
        </w:tc>
        <w:tc>
          <w:tcPr>
            <w:tcW w:w="1296" w:type="dxa"/>
          </w:tcPr>
          <w:p w:rsidR="00906305" w:rsidRPr="00591EE9" w:rsidRDefault="00906305" w:rsidP="001A40EB">
            <w:pPr>
              <w:spacing w:after="0" w:line="240" w:lineRule="auto"/>
              <w:rPr>
                <w:b/>
              </w:rPr>
            </w:pPr>
            <w:r w:rsidRPr="00591EE9">
              <w:rPr>
                <w:b/>
              </w:rPr>
              <w:t>% HRI inpatients</w:t>
            </w:r>
          </w:p>
        </w:tc>
        <w:tc>
          <w:tcPr>
            <w:tcW w:w="1296" w:type="dxa"/>
          </w:tcPr>
          <w:p w:rsidR="00906305" w:rsidRPr="00591EE9" w:rsidRDefault="00906305" w:rsidP="001A40EB">
            <w:pPr>
              <w:spacing w:after="0" w:line="240" w:lineRule="auto"/>
            </w:pPr>
            <w:r w:rsidRPr="00591EE9">
              <w:rPr>
                <w:b/>
              </w:rPr>
              <w:t>% CRH inpatients</w:t>
            </w:r>
          </w:p>
        </w:tc>
      </w:tr>
      <w:tr w:rsidR="00906305" w:rsidRPr="00591EE9" w:rsidTr="001A40EB">
        <w:tc>
          <w:tcPr>
            <w:tcW w:w="1529" w:type="dxa"/>
          </w:tcPr>
          <w:p w:rsidR="00906305" w:rsidRPr="00591EE9" w:rsidRDefault="00906305" w:rsidP="001A40EB">
            <w:pPr>
              <w:spacing w:after="0" w:line="240" w:lineRule="auto"/>
            </w:pPr>
            <w:r w:rsidRPr="00591EE9">
              <w:t>Christian – R.C.</w:t>
            </w:r>
          </w:p>
        </w:tc>
        <w:tc>
          <w:tcPr>
            <w:tcW w:w="1241" w:type="dxa"/>
          </w:tcPr>
          <w:p w:rsidR="00906305" w:rsidRPr="00591EE9" w:rsidRDefault="00906305" w:rsidP="001A40EB">
            <w:pPr>
              <w:spacing w:after="0" w:line="240" w:lineRule="auto"/>
            </w:pPr>
            <w:r w:rsidRPr="00591EE9">
              <w:t>10.75</w:t>
            </w:r>
          </w:p>
        </w:tc>
        <w:tc>
          <w:tcPr>
            <w:tcW w:w="1301" w:type="dxa"/>
          </w:tcPr>
          <w:p w:rsidR="00906305" w:rsidRPr="00591EE9" w:rsidRDefault="00906305" w:rsidP="001A40EB">
            <w:pPr>
              <w:spacing w:after="0" w:line="240" w:lineRule="auto"/>
            </w:pPr>
            <w:r w:rsidRPr="00591EE9">
              <w:t>9.04</w:t>
            </w:r>
          </w:p>
        </w:tc>
        <w:tc>
          <w:tcPr>
            <w:tcW w:w="1277" w:type="dxa"/>
          </w:tcPr>
          <w:p w:rsidR="00906305" w:rsidRPr="00591EE9" w:rsidRDefault="00906305" w:rsidP="001A40EB">
            <w:pPr>
              <w:spacing w:after="0" w:line="240" w:lineRule="auto"/>
            </w:pPr>
            <w:r w:rsidRPr="00591EE9">
              <w:t>) total Christian</w:t>
            </w:r>
          </w:p>
          <w:p w:rsidR="00906305" w:rsidRPr="00591EE9" w:rsidRDefault="00906305" w:rsidP="001A40EB">
            <w:pPr>
              <w:spacing w:after="0" w:line="240" w:lineRule="auto"/>
            </w:pPr>
            <w:r w:rsidRPr="00591EE9">
              <w:t xml:space="preserve">  </w:t>
            </w:r>
          </w:p>
        </w:tc>
        <w:tc>
          <w:tcPr>
            <w:tcW w:w="1302" w:type="dxa"/>
          </w:tcPr>
          <w:p w:rsidR="00906305" w:rsidRPr="00591EE9" w:rsidRDefault="00906305" w:rsidP="001A40EB">
            <w:pPr>
              <w:spacing w:after="0" w:line="240" w:lineRule="auto"/>
            </w:pPr>
            <w:r w:rsidRPr="00591EE9">
              <w:t xml:space="preserve">) total Christian </w:t>
            </w:r>
          </w:p>
        </w:tc>
        <w:tc>
          <w:tcPr>
            <w:tcW w:w="1296" w:type="dxa"/>
          </w:tcPr>
          <w:p w:rsidR="00906305" w:rsidRPr="00591EE9" w:rsidRDefault="00906305" w:rsidP="001A40EB">
            <w:pPr>
              <w:spacing w:after="0" w:line="240" w:lineRule="auto"/>
            </w:pPr>
            <w:r w:rsidRPr="00591EE9">
              <w:t xml:space="preserve"> 6</w:t>
            </w:r>
          </w:p>
        </w:tc>
        <w:tc>
          <w:tcPr>
            <w:tcW w:w="1296" w:type="dxa"/>
          </w:tcPr>
          <w:p w:rsidR="00906305" w:rsidRPr="00591EE9" w:rsidRDefault="00906305" w:rsidP="001A40EB">
            <w:pPr>
              <w:spacing w:after="0" w:line="240" w:lineRule="auto"/>
            </w:pPr>
            <w:r w:rsidRPr="00591EE9">
              <w:t xml:space="preserve"> 6</w:t>
            </w:r>
          </w:p>
        </w:tc>
      </w:tr>
      <w:tr w:rsidR="00906305" w:rsidRPr="00591EE9" w:rsidTr="001A40EB">
        <w:tc>
          <w:tcPr>
            <w:tcW w:w="1529" w:type="dxa"/>
          </w:tcPr>
          <w:p w:rsidR="00906305" w:rsidRPr="00591EE9" w:rsidRDefault="00906305" w:rsidP="001A40EB">
            <w:pPr>
              <w:spacing w:after="0" w:line="240" w:lineRule="auto"/>
            </w:pPr>
            <w:r w:rsidRPr="00591EE9">
              <w:t>Christian – C of E and Free Church</w:t>
            </w:r>
          </w:p>
        </w:tc>
        <w:tc>
          <w:tcPr>
            <w:tcW w:w="1241" w:type="dxa"/>
          </w:tcPr>
          <w:p w:rsidR="00906305" w:rsidRPr="00591EE9" w:rsidRDefault="00906305" w:rsidP="001A40EB">
            <w:pPr>
              <w:spacing w:after="0" w:line="240" w:lineRule="auto"/>
            </w:pPr>
            <w:r w:rsidRPr="00591EE9">
              <w:t>93.05</w:t>
            </w:r>
          </w:p>
        </w:tc>
        <w:tc>
          <w:tcPr>
            <w:tcW w:w="1301" w:type="dxa"/>
          </w:tcPr>
          <w:p w:rsidR="00906305" w:rsidRPr="00591EE9" w:rsidRDefault="00906305" w:rsidP="001A40EB">
            <w:pPr>
              <w:spacing w:after="0" w:line="240" w:lineRule="auto"/>
            </w:pPr>
            <w:r w:rsidRPr="00591EE9">
              <w:t>78.3</w:t>
            </w:r>
          </w:p>
        </w:tc>
        <w:tc>
          <w:tcPr>
            <w:tcW w:w="1277" w:type="dxa"/>
          </w:tcPr>
          <w:p w:rsidR="00906305" w:rsidRPr="00591EE9" w:rsidRDefault="00906305" w:rsidP="001A40EB">
            <w:pPr>
              <w:spacing w:after="0" w:line="240" w:lineRule="auto"/>
            </w:pPr>
            <w:r w:rsidRPr="00591EE9">
              <w:t>)</w:t>
            </w:r>
          </w:p>
          <w:p w:rsidR="00906305" w:rsidRPr="00591EE9" w:rsidRDefault="00906305" w:rsidP="001A40EB">
            <w:pPr>
              <w:spacing w:after="0" w:line="240" w:lineRule="auto"/>
            </w:pPr>
            <w:r w:rsidRPr="00591EE9">
              <w:t>Total 67.2</w:t>
            </w:r>
          </w:p>
        </w:tc>
        <w:tc>
          <w:tcPr>
            <w:tcW w:w="1302" w:type="dxa"/>
          </w:tcPr>
          <w:p w:rsidR="00906305" w:rsidRPr="00591EE9" w:rsidRDefault="00906305" w:rsidP="001A40EB">
            <w:pPr>
              <w:spacing w:after="0" w:line="240" w:lineRule="auto"/>
            </w:pPr>
            <w:r w:rsidRPr="00591EE9">
              <w:t>)</w:t>
            </w:r>
          </w:p>
          <w:p w:rsidR="00906305" w:rsidRPr="00591EE9" w:rsidRDefault="00906305" w:rsidP="001A40EB">
            <w:pPr>
              <w:spacing w:after="0" w:line="240" w:lineRule="auto"/>
            </w:pPr>
            <w:r w:rsidRPr="00591EE9">
              <w:t>Total 69.6</w:t>
            </w:r>
          </w:p>
        </w:tc>
        <w:tc>
          <w:tcPr>
            <w:tcW w:w="1296" w:type="dxa"/>
          </w:tcPr>
          <w:p w:rsidR="00906305" w:rsidRPr="00591EE9" w:rsidRDefault="00906305" w:rsidP="001A40EB">
            <w:pPr>
              <w:spacing w:after="0" w:line="240" w:lineRule="auto"/>
            </w:pPr>
            <w:r w:rsidRPr="00591EE9">
              <w:t>31</w:t>
            </w:r>
          </w:p>
          <w:p w:rsidR="00906305" w:rsidRPr="00591EE9" w:rsidRDefault="00906305" w:rsidP="001A40EB">
            <w:pPr>
              <w:spacing w:after="0" w:line="240" w:lineRule="auto"/>
            </w:pPr>
            <w:r w:rsidRPr="00591EE9">
              <w:t xml:space="preserve">Total </w:t>
            </w:r>
            <w:r w:rsidR="00ED31A1">
              <w:t xml:space="preserve">Christian </w:t>
            </w:r>
            <w:r w:rsidRPr="00591EE9">
              <w:t>37</w:t>
            </w:r>
          </w:p>
        </w:tc>
        <w:tc>
          <w:tcPr>
            <w:tcW w:w="1296" w:type="dxa"/>
          </w:tcPr>
          <w:p w:rsidR="00906305" w:rsidRPr="00591EE9" w:rsidRDefault="00906305" w:rsidP="001A40EB">
            <w:pPr>
              <w:spacing w:after="0" w:line="240" w:lineRule="auto"/>
            </w:pPr>
            <w:r w:rsidRPr="00591EE9">
              <w:t>38</w:t>
            </w:r>
          </w:p>
          <w:p w:rsidR="00906305" w:rsidRPr="00591EE9" w:rsidRDefault="00906305" w:rsidP="001A40EB">
            <w:pPr>
              <w:spacing w:after="0" w:line="240" w:lineRule="auto"/>
            </w:pPr>
            <w:r w:rsidRPr="00591EE9">
              <w:t xml:space="preserve">Total </w:t>
            </w:r>
            <w:r w:rsidR="00ED31A1">
              <w:t xml:space="preserve">Christian </w:t>
            </w:r>
            <w:r w:rsidRPr="00591EE9">
              <w:t>44</w:t>
            </w:r>
          </w:p>
        </w:tc>
      </w:tr>
      <w:tr w:rsidR="00906305" w:rsidRPr="00591EE9" w:rsidTr="001A40EB">
        <w:tc>
          <w:tcPr>
            <w:tcW w:w="1529" w:type="dxa"/>
          </w:tcPr>
          <w:p w:rsidR="00906305" w:rsidRPr="00591EE9" w:rsidRDefault="00906305" w:rsidP="001A40EB">
            <w:pPr>
              <w:spacing w:after="0" w:line="240" w:lineRule="auto"/>
            </w:pPr>
            <w:r w:rsidRPr="00591EE9">
              <w:t>Muslim</w:t>
            </w:r>
          </w:p>
        </w:tc>
        <w:tc>
          <w:tcPr>
            <w:tcW w:w="1241" w:type="dxa"/>
          </w:tcPr>
          <w:p w:rsidR="00906305" w:rsidRPr="00591EE9" w:rsidRDefault="00906305" w:rsidP="001A40EB">
            <w:pPr>
              <w:spacing w:after="0" w:line="240" w:lineRule="auto"/>
            </w:pPr>
            <w:r w:rsidRPr="00591EE9">
              <w:t>15</w:t>
            </w:r>
          </w:p>
        </w:tc>
        <w:tc>
          <w:tcPr>
            <w:tcW w:w="1301" w:type="dxa"/>
          </w:tcPr>
          <w:p w:rsidR="00906305" w:rsidRPr="00591EE9" w:rsidRDefault="00906305" w:rsidP="001A40EB">
            <w:pPr>
              <w:spacing w:after="0" w:line="240" w:lineRule="auto"/>
            </w:pPr>
            <w:r w:rsidRPr="00591EE9">
              <w:t>12.6</w:t>
            </w:r>
          </w:p>
        </w:tc>
        <w:tc>
          <w:tcPr>
            <w:tcW w:w="1277" w:type="dxa"/>
          </w:tcPr>
          <w:p w:rsidR="00906305" w:rsidRPr="00591EE9" w:rsidRDefault="00906305" w:rsidP="001A40EB">
            <w:pPr>
              <w:spacing w:after="0" w:line="240" w:lineRule="auto"/>
            </w:pPr>
            <w:r w:rsidRPr="00591EE9">
              <w:t xml:space="preserve">  10.1</w:t>
            </w:r>
          </w:p>
        </w:tc>
        <w:tc>
          <w:tcPr>
            <w:tcW w:w="1302" w:type="dxa"/>
          </w:tcPr>
          <w:p w:rsidR="00906305" w:rsidRPr="00591EE9" w:rsidRDefault="00906305" w:rsidP="001A40EB">
            <w:pPr>
              <w:spacing w:after="0" w:line="240" w:lineRule="auto"/>
            </w:pPr>
            <w:r w:rsidRPr="00591EE9">
              <w:t xml:space="preserve">  5.3</w:t>
            </w:r>
          </w:p>
        </w:tc>
        <w:tc>
          <w:tcPr>
            <w:tcW w:w="1296" w:type="dxa"/>
          </w:tcPr>
          <w:p w:rsidR="00906305" w:rsidRPr="00591EE9" w:rsidRDefault="00906305" w:rsidP="001A40EB">
            <w:pPr>
              <w:spacing w:after="0" w:line="240" w:lineRule="auto"/>
            </w:pPr>
            <w:r w:rsidRPr="00591EE9">
              <w:t xml:space="preserve"> 2</w:t>
            </w:r>
          </w:p>
        </w:tc>
        <w:tc>
          <w:tcPr>
            <w:tcW w:w="1296" w:type="dxa"/>
          </w:tcPr>
          <w:p w:rsidR="00906305" w:rsidRPr="00591EE9" w:rsidRDefault="00906305" w:rsidP="001A40EB">
            <w:pPr>
              <w:spacing w:after="0" w:line="240" w:lineRule="auto"/>
            </w:pPr>
            <w:r w:rsidRPr="00591EE9">
              <w:t xml:space="preserve"> 3</w:t>
            </w:r>
          </w:p>
        </w:tc>
      </w:tr>
      <w:tr w:rsidR="00906305" w:rsidRPr="00591EE9" w:rsidTr="001A40EB">
        <w:tc>
          <w:tcPr>
            <w:tcW w:w="1529" w:type="dxa"/>
          </w:tcPr>
          <w:p w:rsidR="00906305" w:rsidRPr="00591EE9" w:rsidRDefault="00906305" w:rsidP="001A40EB">
            <w:pPr>
              <w:spacing w:after="0" w:line="240" w:lineRule="auto"/>
            </w:pPr>
            <w:r w:rsidRPr="00591EE9">
              <w:t>None</w:t>
            </w:r>
          </w:p>
        </w:tc>
        <w:tc>
          <w:tcPr>
            <w:tcW w:w="1241" w:type="dxa"/>
          </w:tcPr>
          <w:p w:rsidR="00906305" w:rsidRPr="00591EE9" w:rsidRDefault="00906305" w:rsidP="001A40EB">
            <w:pPr>
              <w:spacing w:after="0" w:line="240" w:lineRule="auto"/>
            </w:pPr>
          </w:p>
        </w:tc>
        <w:tc>
          <w:tcPr>
            <w:tcW w:w="1301" w:type="dxa"/>
          </w:tcPr>
          <w:p w:rsidR="00906305" w:rsidRPr="00591EE9" w:rsidRDefault="00906305" w:rsidP="001A40EB">
            <w:pPr>
              <w:spacing w:after="0" w:line="240" w:lineRule="auto"/>
            </w:pPr>
          </w:p>
        </w:tc>
        <w:tc>
          <w:tcPr>
            <w:tcW w:w="1277" w:type="dxa"/>
          </w:tcPr>
          <w:p w:rsidR="00906305" w:rsidRPr="00591EE9" w:rsidRDefault="00906305" w:rsidP="001A40EB">
            <w:pPr>
              <w:spacing w:after="0" w:line="240" w:lineRule="auto"/>
            </w:pPr>
            <w:r w:rsidRPr="00591EE9">
              <w:t>)</w:t>
            </w:r>
          </w:p>
        </w:tc>
        <w:tc>
          <w:tcPr>
            <w:tcW w:w="1302" w:type="dxa"/>
          </w:tcPr>
          <w:p w:rsidR="00906305" w:rsidRPr="00591EE9" w:rsidRDefault="00906305" w:rsidP="001A40EB">
            <w:pPr>
              <w:spacing w:after="0" w:line="240" w:lineRule="auto"/>
            </w:pPr>
          </w:p>
        </w:tc>
        <w:tc>
          <w:tcPr>
            <w:tcW w:w="1296" w:type="dxa"/>
          </w:tcPr>
          <w:p w:rsidR="00906305" w:rsidRPr="00591EE9" w:rsidRDefault="00906305" w:rsidP="001A40EB">
            <w:pPr>
              <w:spacing w:after="0" w:line="240" w:lineRule="auto"/>
            </w:pPr>
            <w:r w:rsidRPr="00591EE9">
              <w:t xml:space="preserve"> 3  )</w:t>
            </w:r>
          </w:p>
        </w:tc>
        <w:tc>
          <w:tcPr>
            <w:tcW w:w="1296" w:type="dxa"/>
          </w:tcPr>
          <w:p w:rsidR="00906305" w:rsidRPr="00591EE9" w:rsidRDefault="00906305" w:rsidP="001A40EB">
            <w:pPr>
              <w:spacing w:after="0" w:line="240" w:lineRule="auto"/>
            </w:pPr>
            <w:r w:rsidRPr="00591EE9">
              <w:t xml:space="preserve"> 4 )</w:t>
            </w:r>
          </w:p>
        </w:tc>
      </w:tr>
      <w:tr w:rsidR="00906305" w:rsidRPr="00591EE9" w:rsidTr="001A40EB">
        <w:tc>
          <w:tcPr>
            <w:tcW w:w="1529" w:type="dxa"/>
          </w:tcPr>
          <w:p w:rsidR="00906305" w:rsidRPr="00591EE9" w:rsidRDefault="00906305" w:rsidP="001A40EB">
            <w:pPr>
              <w:spacing w:after="0" w:line="240" w:lineRule="auto"/>
            </w:pPr>
            <w:r w:rsidRPr="00591EE9">
              <w:t>Not Known</w:t>
            </w:r>
          </w:p>
        </w:tc>
        <w:tc>
          <w:tcPr>
            <w:tcW w:w="1241" w:type="dxa"/>
          </w:tcPr>
          <w:p w:rsidR="00906305" w:rsidRPr="00591EE9" w:rsidRDefault="00906305" w:rsidP="001A40EB">
            <w:pPr>
              <w:spacing w:after="0" w:line="240" w:lineRule="auto"/>
            </w:pPr>
          </w:p>
        </w:tc>
        <w:tc>
          <w:tcPr>
            <w:tcW w:w="1301" w:type="dxa"/>
          </w:tcPr>
          <w:p w:rsidR="00906305" w:rsidRPr="00591EE9" w:rsidRDefault="00906305" w:rsidP="001A40EB">
            <w:pPr>
              <w:spacing w:after="0" w:line="240" w:lineRule="auto"/>
            </w:pPr>
          </w:p>
        </w:tc>
        <w:tc>
          <w:tcPr>
            <w:tcW w:w="1277" w:type="dxa"/>
          </w:tcPr>
          <w:p w:rsidR="00906305" w:rsidRPr="00591EE9" w:rsidRDefault="00906305" w:rsidP="001A40EB">
            <w:pPr>
              <w:spacing w:after="0" w:line="240" w:lineRule="auto"/>
            </w:pPr>
            <w:r w:rsidRPr="00591EE9">
              <w:t>) 21.3</w:t>
            </w:r>
          </w:p>
        </w:tc>
        <w:tc>
          <w:tcPr>
            <w:tcW w:w="1302" w:type="dxa"/>
          </w:tcPr>
          <w:p w:rsidR="00906305" w:rsidRPr="00591EE9" w:rsidRDefault="00906305" w:rsidP="001A40EB">
            <w:pPr>
              <w:spacing w:after="0" w:line="240" w:lineRule="auto"/>
            </w:pPr>
            <w:r w:rsidRPr="00591EE9">
              <w:t>24.3</w:t>
            </w:r>
          </w:p>
        </w:tc>
        <w:tc>
          <w:tcPr>
            <w:tcW w:w="1296" w:type="dxa"/>
          </w:tcPr>
          <w:p w:rsidR="00906305" w:rsidRPr="00591EE9" w:rsidRDefault="00906305" w:rsidP="001A40EB">
            <w:pPr>
              <w:spacing w:after="0" w:line="240" w:lineRule="auto"/>
            </w:pPr>
            <w:r w:rsidRPr="00591EE9">
              <w:t>56 ) 59</w:t>
            </w:r>
          </w:p>
        </w:tc>
        <w:tc>
          <w:tcPr>
            <w:tcW w:w="1296" w:type="dxa"/>
          </w:tcPr>
          <w:p w:rsidR="00906305" w:rsidRPr="00591EE9" w:rsidRDefault="00906305" w:rsidP="001A40EB">
            <w:pPr>
              <w:spacing w:after="0" w:line="240" w:lineRule="auto"/>
            </w:pPr>
            <w:r w:rsidRPr="00591EE9">
              <w:t>46) 50</w:t>
            </w:r>
          </w:p>
        </w:tc>
      </w:tr>
    </w:tbl>
    <w:p w:rsidR="00ED31A1" w:rsidRDefault="00906305" w:rsidP="00906305">
      <w:r>
        <w:t>Note</w:t>
      </w:r>
      <w:r w:rsidR="00ED31A1">
        <w:t>s</w:t>
      </w:r>
      <w:r>
        <w:t>:  The 2013 Census records a single category of Christian and combines religion ‘not stated’ and ‘no religion</w:t>
      </w:r>
      <w:r w:rsidR="001A40EB">
        <w:t>’</w:t>
      </w:r>
      <w:r>
        <w:t xml:space="preserve"> together. </w:t>
      </w:r>
    </w:p>
    <w:p w:rsidR="00906305" w:rsidRDefault="00906305" w:rsidP="00906305">
      <w:r>
        <w:t>It can be seen that the hospital populations of those professing Christianity is markedly lower than the Census figure and the “unknowns” correspondingly higher, suggesting incomplete data collection within CHFT.</w:t>
      </w:r>
      <w:r w:rsidR="001A40EB">
        <w:t xml:space="preserve"> In patient lists show a large number of those whose denomination is “not known”.</w:t>
      </w:r>
    </w:p>
    <w:p w:rsidR="00906305" w:rsidRDefault="00906305" w:rsidP="00906305">
      <w:r>
        <w:t xml:space="preserve">12.6% of chaplaincy sessions are allocated to Muslim chaplaincy for a community which constitutes 10.1% (Kirklees) and 5.3% (Calderdale) of the population at large or 2% (HRI) and 3% (CRH) of </w:t>
      </w:r>
      <w:r w:rsidR="001A40EB">
        <w:t>t</w:t>
      </w:r>
      <w:r>
        <w:t>h</w:t>
      </w:r>
      <w:r w:rsidR="001A40EB">
        <w:t>e hospital in-patient population</w:t>
      </w:r>
      <w:r>
        <w:t xml:space="preserve">. </w:t>
      </w:r>
      <w:r w:rsidR="00ED31A1">
        <w:t xml:space="preserve">The ‘not-known’ caveat applies here too. </w:t>
      </w:r>
      <w:r>
        <w:t xml:space="preserve">What </w:t>
      </w:r>
      <w:r w:rsidR="00ED31A1">
        <w:t>might</w:t>
      </w:r>
      <w:r>
        <w:t xml:space="preserve"> be seen as over-resourcing is not an issue if it is remembered that the patients whose faith standpoint is not known or stated as “none” come within the remit of our service too. The wider, developmental issues relating to a minority faith as highlighted above and detailed in the Evaluation are also significant.   </w:t>
      </w:r>
    </w:p>
    <w:p w:rsidR="001A40EB" w:rsidRDefault="001A40EB" w:rsidP="00906305">
      <w:r>
        <w:t>The same reasoning applies to the fact that 78.3 of chaplaincy resources is allocated to Free Church and Anglican ministry when the census shows percentages of 67.2 in Kirklees and 69.6 in Calderdale respectively: our task is to seek to address the needs of all patients.</w:t>
      </w:r>
    </w:p>
    <w:p w:rsidR="008F526C" w:rsidRPr="00906305" w:rsidRDefault="001A40EB" w:rsidP="00906305">
      <w:r>
        <w:t xml:space="preserve">Please see the discussion in the “We work together to get results section” about the advantages of using a chaplaincy service rather than secular healthcare staff to head up addressing spiritual care.  </w:t>
      </w:r>
    </w:p>
    <w:sectPr w:rsidR="008F526C" w:rsidRPr="009063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DA" w:rsidRDefault="009563DA" w:rsidP="009563DA">
      <w:pPr>
        <w:spacing w:after="0" w:line="240" w:lineRule="auto"/>
      </w:pPr>
      <w:r>
        <w:separator/>
      </w:r>
    </w:p>
  </w:endnote>
  <w:endnote w:type="continuationSeparator" w:id="0">
    <w:p w:rsidR="009563DA" w:rsidRDefault="009563DA" w:rsidP="0095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452108"/>
      <w:docPartObj>
        <w:docPartGallery w:val="Page Numbers (Bottom of Page)"/>
        <w:docPartUnique/>
      </w:docPartObj>
    </w:sdtPr>
    <w:sdtEndPr>
      <w:rPr>
        <w:noProof/>
      </w:rPr>
    </w:sdtEndPr>
    <w:sdtContent>
      <w:p w:rsidR="009563DA" w:rsidRDefault="009563DA">
        <w:pPr>
          <w:pStyle w:val="Footer"/>
        </w:pPr>
        <w:r>
          <w:fldChar w:fldCharType="begin"/>
        </w:r>
        <w:r>
          <w:instrText xml:space="preserve"> PAGE   \* MERGEFORMAT </w:instrText>
        </w:r>
        <w:r>
          <w:fldChar w:fldCharType="separate"/>
        </w:r>
        <w:r>
          <w:rPr>
            <w:noProof/>
          </w:rPr>
          <w:t>1</w:t>
        </w:r>
        <w:r>
          <w:rPr>
            <w:noProof/>
          </w:rPr>
          <w:fldChar w:fldCharType="end"/>
        </w:r>
      </w:p>
    </w:sdtContent>
  </w:sdt>
  <w:p w:rsidR="009563DA" w:rsidRDefault="00956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DA" w:rsidRDefault="009563DA" w:rsidP="009563DA">
      <w:pPr>
        <w:spacing w:after="0" w:line="240" w:lineRule="auto"/>
      </w:pPr>
      <w:r>
        <w:separator/>
      </w:r>
    </w:p>
  </w:footnote>
  <w:footnote w:type="continuationSeparator" w:id="0">
    <w:p w:rsidR="009563DA" w:rsidRDefault="009563DA" w:rsidP="00956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9A"/>
    <w:rsid w:val="00072FA2"/>
    <w:rsid w:val="001A40EB"/>
    <w:rsid w:val="002E2C77"/>
    <w:rsid w:val="0042794D"/>
    <w:rsid w:val="007E359A"/>
    <w:rsid w:val="008F526C"/>
    <w:rsid w:val="00906305"/>
    <w:rsid w:val="009563DA"/>
    <w:rsid w:val="00A65381"/>
    <w:rsid w:val="00BA6B85"/>
    <w:rsid w:val="00BD7D37"/>
    <w:rsid w:val="00BF785B"/>
    <w:rsid w:val="00C37035"/>
    <w:rsid w:val="00D2046D"/>
    <w:rsid w:val="00D277C1"/>
    <w:rsid w:val="00ED31A1"/>
    <w:rsid w:val="00F6321D"/>
    <w:rsid w:val="00F6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05"/>
    <w:rPr>
      <w:rFonts w:ascii="Tahoma" w:eastAsia="Calibri" w:hAnsi="Tahoma" w:cs="Tahoma"/>
      <w:sz w:val="16"/>
      <w:szCs w:val="16"/>
    </w:rPr>
  </w:style>
  <w:style w:type="paragraph" w:styleId="Header">
    <w:name w:val="header"/>
    <w:basedOn w:val="Normal"/>
    <w:link w:val="HeaderChar"/>
    <w:uiPriority w:val="99"/>
    <w:unhideWhenUsed/>
    <w:rsid w:val="00956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3DA"/>
    <w:rPr>
      <w:rFonts w:ascii="Calibri" w:eastAsia="Calibri" w:hAnsi="Calibri" w:cs="Times New Roman"/>
    </w:rPr>
  </w:style>
  <w:style w:type="paragraph" w:styleId="Footer">
    <w:name w:val="footer"/>
    <w:basedOn w:val="Normal"/>
    <w:link w:val="FooterChar"/>
    <w:uiPriority w:val="99"/>
    <w:unhideWhenUsed/>
    <w:rsid w:val="00956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3D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05"/>
    <w:rPr>
      <w:rFonts w:ascii="Tahoma" w:eastAsia="Calibri" w:hAnsi="Tahoma" w:cs="Tahoma"/>
      <w:sz w:val="16"/>
      <w:szCs w:val="16"/>
    </w:rPr>
  </w:style>
  <w:style w:type="paragraph" w:styleId="Header">
    <w:name w:val="header"/>
    <w:basedOn w:val="Normal"/>
    <w:link w:val="HeaderChar"/>
    <w:uiPriority w:val="99"/>
    <w:unhideWhenUsed/>
    <w:rsid w:val="00956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3DA"/>
    <w:rPr>
      <w:rFonts w:ascii="Calibri" w:eastAsia="Calibri" w:hAnsi="Calibri" w:cs="Times New Roman"/>
    </w:rPr>
  </w:style>
  <w:style w:type="paragraph" w:styleId="Footer">
    <w:name w:val="footer"/>
    <w:basedOn w:val="Normal"/>
    <w:link w:val="FooterChar"/>
    <w:uiPriority w:val="99"/>
    <w:unhideWhenUsed/>
    <w:rsid w:val="00956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3D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Spencer</dc:creator>
  <cp:lastModifiedBy>George Spencer</cp:lastModifiedBy>
  <cp:revision>5</cp:revision>
  <cp:lastPrinted>2014-09-09T12:00:00Z</cp:lastPrinted>
  <dcterms:created xsi:type="dcterms:W3CDTF">2014-09-26T17:09:00Z</dcterms:created>
  <dcterms:modified xsi:type="dcterms:W3CDTF">2014-10-09T08:54:00Z</dcterms:modified>
</cp:coreProperties>
</file>